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C6" w:rsidRDefault="008D48C6" w:rsidP="001F6030">
      <w:pPr>
        <w:rPr>
          <w:b/>
          <w:sz w:val="28"/>
          <w:szCs w:val="28"/>
        </w:rPr>
      </w:pPr>
    </w:p>
    <w:p w:rsidR="008D48C6" w:rsidRDefault="008D48C6" w:rsidP="008D48C6">
      <w:pPr>
        <w:jc w:val="right"/>
        <w:rPr>
          <w:b/>
          <w:sz w:val="28"/>
          <w:szCs w:val="28"/>
        </w:rPr>
      </w:pPr>
      <w:r w:rsidRPr="00623279">
        <w:rPr>
          <w:rFonts w:ascii="Calibri" w:eastAsia="Calibri" w:hAnsi="Calibri" w:cs="Arial"/>
          <w:b/>
          <w:i/>
          <w:noProof/>
          <w:color w:val="004B8D"/>
          <w:lang w:eastAsia="en-AU"/>
        </w:rPr>
        <w:drawing>
          <wp:inline distT="0" distB="0" distL="0" distR="0" wp14:anchorId="36FC2D3F" wp14:editId="03608B01">
            <wp:extent cx="1778000" cy="802640"/>
            <wp:effectExtent l="0" t="0" r="0" b="0"/>
            <wp:docPr id="10" name="Picture 10" descr="C:\Users\he67003\Desktop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67003\Desktop\admin-aja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6F" w:rsidRPr="002317F2" w:rsidRDefault="004B556F" w:rsidP="004B556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Community Treatment Orders: a Clinical and Legal Perspective (</w:t>
      </w:r>
      <w:r w:rsidRPr="002317F2">
        <w:rPr>
          <w:b/>
          <w:sz w:val="28"/>
          <w:szCs w:val="28"/>
        </w:rPr>
        <w:t>4 hrs)</w:t>
      </w:r>
    </w:p>
    <w:p w:rsidR="004B556F" w:rsidRPr="002317F2" w:rsidRDefault="004B556F" w:rsidP="004B556F">
      <w:pPr>
        <w:rPr>
          <w:b/>
          <w:szCs w:val="24"/>
        </w:rPr>
      </w:pPr>
      <w:r w:rsidRPr="002317F2">
        <w:rPr>
          <w:b/>
          <w:szCs w:val="24"/>
        </w:rPr>
        <w:t>Unit Outline</w:t>
      </w:r>
    </w:p>
    <w:tbl>
      <w:tblPr>
        <w:tblStyle w:val="MediumGrid1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4B556F" w:rsidRPr="003B7895" w:rsidTr="00AC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CPD Points</w:t>
            </w:r>
          </w:p>
        </w:tc>
        <w:tc>
          <w:tcPr>
            <w:tcW w:w="6440" w:type="dxa"/>
          </w:tcPr>
          <w:p w:rsidR="004B556F" w:rsidRPr="00862D4A" w:rsidRDefault="004B556F" w:rsidP="00AC5548">
            <w:pPr>
              <w:spacing w:before="60"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862D4A">
              <w:t xml:space="preserve"> </w:t>
            </w:r>
          </w:p>
        </w:tc>
      </w:tr>
      <w:tr w:rsidR="004B556F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Pre Requisites</w:t>
            </w:r>
          </w:p>
        </w:tc>
        <w:tc>
          <w:tcPr>
            <w:tcW w:w="6440" w:type="dxa"/>
          </w:tcPr>
          <w:p w:rsidR="004B556F" w:rsidRPr="009A3AC6" w:rsidRDefault="004B556F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  <w:lang w:val="en-US"/>
              </w:rPr>
            </w:pPr>
            <w:r w:rsidRPr="009A3AC6">
              <w:rPr>
                <w:color w:val="171717"/>
                <w:lang w:val="en-US"/>
              </w:rPr>
              <w:t>Nil</w:t>
            </w:r>
          </w:p>
        </w:tc>
      </w:tr>
      <w:tr w:rsidR="004B556F" w:rsidRPr="003B7895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Target Audience</w:t>
            </w:r>
          </w:p>
        </w:tc>
        <w:tc>
          <w:tcPr>
            <w:tcW w:w="6440" w:type="dxa"/>
          </w:tcPr>
          <w:p w:rsidR="004B556F" w:rsidRDefault="004B556F" w:rsidP="00AC5548">
            <w:p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  <w:lang w:val="en-US"/>
              </w:rPr>
            </w:pPr>
            <w:r>
              <w:rPr>
                <w:color w:val="171717"/>
                <w:lang w:val="en-US"/>
              </w:rPr>
              <w:t xml:space="preserve">Statewide </w:t>
            </w:r>
            <w:r w:rsidRPr="009A3AC6">
              <w:rPr>
                <w:color w:val="171717"/>
                <w:lang w:val="en-US"/>
              </w:rPr>
              <w:t xml:space="preserve">Mental Health Clinicians </w:t>
            </w:r>
            <w:r>
              <w:rPr>
                <w:color w:val="171717"/>
                <w:lang w:val="en-US"/>
              </w:rPr>
              <w:t xml:space="preserve"> from</w:t>
            </w:r>
          </w:p>
          <w:p w:rsidR="004B556F" w:rsidRDefault="004B556F" w:rsidP="004B556F">
            <w:pPr>
              <w:pStyle w:val="ListParagraph"/>
              <w:numPr>
                <w:ilvl w:val="1"/>
                <w:numId w:val="26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Adult Programs</w:t>
            </w:r>
          </w:p>
          <w:p w:rsidR="004B556F" w:rsidRDefault="004B556F" w:rsidP="004B556F">
            <w:pPr>
              <w:pStyle w:val="ListParagraph"/>
              <w:numPr>
                <w:ilvl w:val="1"/>
                <w:numId w:val="26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Older Adult Programs</w:t>
            </w:r>
          </w:p>
          <w:p w:rsidR="004B556F" w:rsidRPr="009A3AC6" w:rsidRDefault="004B556F" w:rsidP="004B556F">
            <w:pPr>
              <w:pStyle w:val="ListParagraph"/>
              <w:numPr>
                <w:ilvl w:val="1"/>
                <w:numId w:val="26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CAMHS and Youth Programs</w:t>
            </w:r>
          </w:p>
        </w:tc>
      </w:tr>
      <w:tr w:rsidR="004B556F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Mode of Delivery</w:t>
            </w:r>
          </w:p>
        </w:tc>
        <w:tc>
          <w:tcPr>
            <w:tcW w:w="6440" w:type="dxa"/>
          </w:tcPr>
          <w:p w:rsidR="004B556F" w:rsidRPr="00BA3409" w:rsidRDefault="004B556F" w:rsidP="00AC5548">
            <w:pPr>
              <w:pStyle w:val="ListParagraph"/>
              <w:numPr>
                <w:ilvl w:val="0"/>
                <w:numId w:val="18"/>
              </w:num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409">
              <w:t>Onsite lecture and Question Answer Workshop</w:t>
            </w:r>
          </w:p>
        </w:tc>
      </w:tr>
      <w:tr w:rsidR="004B556F" w:rsidRPr="00604167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604167" w:rsidRDefault="004B556F" w:rsidP="00AC5548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6440" w:type="dxa"/>
          </w:tcPr>
          <w:p w:rsidR="004B556F" w:rsidRPr="00BA3409" w:rsidRDefault="004B556F" w:rsidP="00AC5548">
            <w:pPr>
              <w:pStyle w:val="ListParagraph"/>
              <w:numPr>
                <w:ilvl w:val="0"/>
                <w:numId w:val="18"/>
              </w:num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409">
              <w:t xml:space="preserve">Video  Conferencing </w:t>
            </w:r>
          </w:p>
        </w:tc>
      </w:tr>
      <w:tr w:rsidR="004B556F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Delivery Details</w:t>
            </w:r>
          </w:p>
        </w:tc>
        <w:tc>
          <w:tcPr>
            <w:tcW w:w="6440" w:type="dxa"/>
          </w:tcPr>
          <w:p w:rsidR="004B556F" w:rsidRPr="00862D4A" w:rsidRDefault="004B556F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D4A">
              <w:t>Classroom with power point presentation and  face to face discussion time</w:t>
            </w:r>
          </w:p>
        </w:tc>
      </w:tr>
      <w:tr w:rsidR="004B556F" w:rsidRPr="003B7895" w:rsidTr="00AC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 w:rsidRPr="00862D4A">
              <w:t>Duration of Course</w:t>
            </w:r>
          </w:p>
        </w:tc>
        <w:tc>
          <w:tcPr>
            <w:tcW w:w="6440" w:type="dxa"/>
          </w:tcPr>
          <w:p w:rsidR="004B556F" w:rsidRPr="00862D4A" w:rsidRDefault="004B556F" w:rsidP="00AC5548">
            <w:pPr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862D4A">
              <w:t xml:space="preserve"> hr session</w:t>
            </w:r>
            <w:r>
              <w:t xml:space="preserve"> with 30 minute Q &amp; A session</w:t>
            </w:r>
            <w:r w:rsidRPr="00862D4A">
              <w:t xml:space="preserve"> </w:t>
            </w:r>
          </w:p>
        </w:tc>
      </w:tr>
      <w:tr w:rsidR="004B556F" w:rsidRPr="003B7895" w:rsidTr="00AC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B556F" w:rsidRPr="00862D4A" w:rsidRDefault="004B556F" w:rsidP="00AC5548">
            <w:pPr>
              <w:spacing w:before="60" w:after="60" w:line="360" w:lineRule="auto"/>
            </w:pPr>
            <w:r>
              <w:t>Accredited Course</w:t>
            </w:r>
          </w:p>
        </w:tc>
        <w:tc>
          <w:tcPr>
            <w:tcW w:w="6440" w:type="dxa"/>
          </w:tcPr>
          <w:p w:rsidR="004B556F" w:rsidRPr="00862D4A" w:rsidRDefault="004B556F" w:rsidP="00AC5548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No.  This is an informed and researched  course</w:t>
            </w:r>
          </w:p>
        </w:tc>
      </w:tr>
    </w:tbl>
    <w:p w:rsidR="004B556F" w:rsidRPr="002317F2" w:rsidRDefault="004B556F" w:rsidP="004B556F">
      <w:pPr>
        <w:rPr>
          <w:b/>
          <w:sz w:val="28"/>
          <w:szCs w:val="28"/>
        </w:rPr>
      </w:pPr>
      <w:r w:rsidRPr="002317F2">
        <w:rPr>
          <w:b/>
          <w:sz w:val="28"/>
          <w:szCs w:val="28"/>
        </w:rPr>
        <w:t>Purpose</w:t>
      </w:r>
    </w:p>
    <w:p w:rsidR="004B556F" w:rsidRPr="00F63317" w:rsidRDefault="004B556F" w:rsidP="004B556F">
      <w:r w:rsidRPr="00F63317">
        <w:t>CTOs  are generally used for patients who otherwise do not adhere to prescribed mental health treatment and who may pose a danger to themselves or the public, resulting in frequent psychiatric hospitalisations (CTOs are for a minority of patients who might meet the criteria).  This course is designed to address the formalities of CTOs and its direct impact on consumers and clinicians).</w:t>
      </w:r>
    </w:p>
    <w:p w:rsidR="004B556F" w:rsidRPr="002317F2" w:rsidRDefault="004B556F" w:rsidP="004B556F">
      <w:pPr>
        <w:rPr>
          <w:b/>
          <w:sz w:val="28"/>
          <w:szCs w:val="28"/>
        </w:rPr>
      </w:pPr>
      <w:r w:rsidRPr="002317F2">
        <w:rPr>
          <w:b/>
          <w:sz w:val="28"/>
          <w:szCs w:val="28"/>
        </w:rPr>
        <w:t>Outcomes</w:t>
      </w:r>
    </w:p>
    <w:p w:rsidR="004B556F" w:rsidRPr="00F63317" w:rsidRDefault="004B556F" w:rsidP="004B556F">
      <w:r w:rsidRPr="00F63317">
        <w:t xml:space="preserve">At the completion of this 4 hour workshop AMHPs should be able to: 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Describe the Background &amp; Research into the use of CTOs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Identify how CTOs work and what can be done to help CTOs to work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 xml:space="preserve">Apply a CTO 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Distinguish the rules regarding assessment and referral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lastRenderedPageBreak/>
        <w:t>Assess the process before making a CTO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Complete a Form 5A and attachment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Devise a CTO plan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Discuss the monthly examination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Critique the process for revoking a CTO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Demonstrate making an inpatient order</w:t>
      </w:r>
    </w:p>
    <w:p w:rsidR="004B556F" w:rsidRPr="00F63317" w:rsidRDefault="004B556F" w:rsidP="004B556F">
      <w:pPr>
        <w:pStyle w:val="ListParagraph"/>
        <w:numPr>
          <w:ilvl w:val="0"/>
          <w:numId w:val="29"/>
        </w:numPr>
      </w:pPr>
      <w:r w:rsidRPr="00F63317">
        <w:t>Describe continuing a CTO</w:t>
      </w:r>
    </w:p>
    <w:p w:rsidR="004B556F" w:rsidRPr="00F63317" w:rsidRDefault="004B556F" w:rsidP="004B556F">
      <w:r w:rsidRPr="00F63317">
        <w:t>Complete varying a CTO</w:t>
      </w:r>
    </w:p>
    <w:p w:rsidR="004B556F" w:rsidRPr="00F63317" w:rsidRDefault="004B556F" w:rsidP="004B556F">
      <w:r w:rsidRPr="00F63317">
        <w:t>Explain patient rights</w:t>
      </w:r>
    </w:p>
    <w:p w:rsidR="004B556F" w:rsidRPr="00F63317" w:rsidRDefault="004B556F" w:rsidP="004B556F">
      <w:r w:rsidRPr="00F63317">
        <w:t>Summarise the Breach and Order to attend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Course Content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Background &amp; Research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Can CTOs work and what can be done to help CTOs to work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Placing a person on a CTO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Rules regarding assessment and referral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Before making a CTO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Completing a Form 5A and attachment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CTO plan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Monthly examination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Revoking a CTO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Making an inpatient order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Continuing a CTO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Varying a CTO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Rights</w:t>
      </w:r>
    </w:p>
    <w:p w:rsidR="004B556F" w:rsidRPr="00F63317" w:rsidRDefault="004B556F" w:rsidP="004B556F">
      <w:pPr>
        <w:pStyle w:val="ListParagraph"/>
        <w:numPr>
          <w:ilvl w:val="0"/>
          <w:numId w:val="28"/>
        </w:numPr>
      </w:pPr>
      <w:r w:rsidRPr="00F63317">
        <w:t>Breach and Order to attend</w:t>
      </w:r>
    </w:p>
    <w:p w:rsidR="004B556F" w:rsidRPr="009628DA" w:rsidRDefault="004B556F" w:rsidP="004B556F">
      <w:pPr>
        <w:rPr>
          <w:b/>
          <w:sz w:val="28"/>
          <w:szCs w:val="28"/>
        </w:rPr>
      </w:pPr>
      <w:r w:rsidRPr="009628DA">
        <w:rPr>
          <w:b/>
          <w:sz w:val="28"/>
          <w:szCs w:val="28"/>
        </w:rPr>
        <w:t>Teaching and Learning Strategies</w:t>
      </w:r>
    </w:p>
    <w:p w:rsidR="004B556F" w:rsidRPr="002317F2" w:rsidRDefault="004B556F" w:rsidP="004B556F">
      <w:pPr>
        <w:rPr>
          <w:szCs w:val="24"/>
        </w:rPr>
      </w:pPr>
      <w:r w:rsidRPr="00F63317">
        <w:t>Participants will be encouraged to watch, actively participate in discussions</w:t>
      </w:r>
    </w:p>
    <w:p w:rsidR="004B556F" w:rsidRPr="009628DA" w:rsidRDefault="004B556F" w:rsidP="004B556F">
      <w:pPr>
        <w:spacing w:after="0" w:line="360" w:lineRule="auto"/>
        <w:rPr>
          <w:b/>
          <w:sz w:val="28"/>
          <w:szCs w:val="28"/>
        </w:rPr>
      </w:pPr>
      <w:r w:rsidRPr="009628DA">
        <w:rPr>
          <w:b/>
          <w:sz w:val="28"/>
          <w:szCs w:val="28"/>
        </w:rPr>
        <w:t>Teaching and Learning Resources</w:t>
      </w:r>
    </w:p>
    <w:p w:rsidR="004B556F" w:rsidRPr="00F63317" w:rsidRDefault="004B556F" w:rsidP="004B556F">
      <w:pPr>
        <w:spacing w:after="0" w:line="360" w:lineRule="auto"/>
      </w:pPr>
      <w:r w:rsidRPr="002317F2">
        <w:rPr>
          <w:szCs w:val="24"/>
        </w:rPr>
        <w:t>1.</w:t>
      </w:r>
      <w:r w:rsidRPr="00F63317">
        <w:tab/>
        <w:t>Power point presentation</w:t>
      </w:r>
    </w:p>
    <w:p w:rsidR="004B556F" w:rsidRPr="00F63317" w:rsidRDefault="004B556F" w:rsidP="004B556F">
      <w:pPr>
        <w:spacing w:after="0" w:line="360" w:lineRule="auto"/>
      </w:pPr>
      <w:r w:rsidRPr="00F63317">
        <w:t>2.</w:t>
      </w:r>
      <w:r w:rsidRPr="00F63317">
        <w:tab/>
        <w:t>Video Conferencing options for WACHS AMHPS</w:t>
      </w:r>
    </w:p>
    <w:p w:rsidR="004B556F" w:rsidRPr="00F63317" w:rsidRDefault="004B556F" w:rsidP="004B556F">
      <w:pPr>
        <w:spacing w:after="0" w:line="360" w:lineRule="auto"/>
      </w:pPr>
      <w:r w:rsidRPr="00F63317">
        <w:t>3.</w:t>
      </w:r>
      <w:r w:rsidRPr="00F63317">
        <w:tab/>
        <w:t>MHA CTO forms</w:t>
      </w:r>
    </w:p>
    <w:p w:rsidR="004B556F" w:rsidRPr="009628DA" w:rsidRDefault="004B556F" w:rsidP="004B556F">
      <w:pPr>
        <w:spacing w:after="0" w:line="360" w:lineRule="auto"/>
        <w:rPr>
          <w:b/>
          <w:sz w:val="28"/>
          <w:szCs w:val="28"/>
        </w:rPr>
      </w:pPr>
      <w:r w:rsidRPr="009628DA">
        <w:rPr>
          <w:b/>
          <w:sz w:val="28"/>
          <w:szCs w:val="28"/>
        </w:rPr>
        <w:t>Learning Resources</w:t>
      </w:r>
    </w:p>
    <w:p w:rsidR="004B556F" w:rsidRPr="00DE6432" w:rsidRDefault="004B556F" w:rsidP="004B556F">
      <w:pPr>
        <w:spacing w:after="0" w:line="360" w:lineRule="auto"/>
        <w:rPr>
          <w:b/>
          <w:szCs w:val="24"/>
        </w:rPr>
      </w:pPr>
      <w:r w:rsidRPr="00DE6432">
        <w:rPr>
          <w:b/>
          <w:szCs w:val="24"/>
        </w:rPr>
        <w:t>1.</w:t>
      </w:r>
      <w:r w:rsidRPr="00DE6432">
        <w:rPr>
          <w:b/>
          <w:szCs w:val="24"/>
        </w:rPr>
        <w:tab/>
      </w:r>
      <w:r w:rsidRPr="00F63317">
        <w:rPr>
          <w:i/>
        </w:rPr>
        <w:t>Mental Health Act 2014</w:t>
      </w:r>
    </w:p>
    <w:p w:rsidR="004B556F" w:rsidRDefault="004B556F" w:rsidP="004B556F">
      <w:pPr>
        <w:spacing w:after="0" w:line="360" w:lineRule="auto"/>
        <w:rPr>
          <w:szCs w:val="24"/>
        </w:rPr>
      </w:pPr>
      <w:hyperlink r:id="rId10" w:history="1">
        <w:r w:rsidRPr="00CF7F6B">
          <w:rPr>
            <w:rStyle w:val="Hyperlink"/>
            <w:rFonts w:asciiTheme="minorHAnsi" w:hAnsiTheme="minorHAnsi"/>
            <w:szCs w:val="24"/>
          </w:rPr>
          <w:t>https://www.legislation.wa.gov.au/legislation/statutes.nsf/main_mrtitle_13534_homepage.html</w:t>
        </w:r>
      </w:hyperlink>
    </w:p>
    <w:p w:rsidR="004B556F" w:rsidRPr="00F63317" w:rsidRDefault="004B556F" w:rsidP="004B556F">
      <w:pPr>
        <w:pStyle w:val="ListParagraph"/>
        <w:numPr>
          <w:ilvl w:val="0"/>
          <w:numId w:val="27"/>
        </w:numPr>
        <w:spacing w:after="0" w:line="360" w:lineRule="auto"/>
        <w:ind w:hanging="720"/>
      </w:pPr>
      <w:r w:rsidRPr="00F63317">
        <w:t xml:space="preserve">Forms 5A/ Attachment to 5A/ 5B/ 5C/ 5D/ 5E/5F. </w:t>
      </w:r>
    </w:p>
    <w:p w:rsidR="004B556F" w:rsidRPr="00F63317" w:rsidRDefault="004B556F" w:rsidP="004B556F">
      <w:pPr>
        <w:pStyle w:val="ListParagraph"/>
        <w:numPr>
          <w:ilvl w:val="0"/>
          <w:numId w:val="27"/>
        </w:numPr>
        <w:spacing w:after="0" w:line="360" w:lineRule="auto"/>
        <w:ind w:hanging="720"/>
      </w:pPr>
      <w:r w:rsidRPr="00F63317">
        <w:lastRenderedPageBreak/>
        <w:t>CTO pamphlet downloaded from the MHC website</w:t>
      </w:r>
    </w:p>
    <w:p w:rsidR="004B556F" w:rsidRPr="00F63317" w:rsidRDefault="004B556F" w:rsidP="004B556F">
      <w:pPr>
        <w:pStyle w:val="ListParagraph"/>
        <w:numPr>
          <w:ilvl w:val="0"/>
          <w:numId w:val="27"/>
        </w:numPr>
        <w:spacing w:after="0" w:line="360" w:lineRule="auto"/>
        <w:ind w:hanging="720"/>
      </w:pPr>
      <w:r w:rsidRPr="00F63317">
        <w:t>Recall of patients on Community Treatment orders over three years in the OCTET CTO cohort (2016)</w:t>
      </w:r>
    </w:p>
    <w:p w:rsidR="004B556F" w:rsidRPr="00F63317" w:rsidRDefault="004B556F" w:rsidP="004B556F">
      <w:pPr>
        <w:pStyle w:val="ListParagraph"/>
        <w:numPr>
          <w:ilvl w:val="0"/>
          <w:numId w:val="27"/>
        </w:numPr>
        <w:spacing w:after="0" w:line="360" w:lineRule="auto"/>
        <w:ind w:hanging="720"/>
      </w:pPr>
      <w:r w:rsidRPr="00F63317">
        <w:t>OCTET does not prove community treatment orders are ineffective (2015)</w:t>
      </w:r>
    </w:p>
    <w:p w:rsidR="004B556F" w:rsidRPr="00F63317" w:rsidRDefault="004B556F" w:rsidP="004B556F">
      <w:pPr>
        <w:pStyle w:val="ListParagraph"/>
        <w:numPr>
          <w:ilvl w:val="0"/>
          <w:numId w:val="27"/>
        </w:numPr>
        <w:spacing w:after="0" w:line="360" w:lineRule="auto"/>
        <w:ind w:hanging="720"/>
        <w:rPr>
          <w:szCs w:val="24"/>
        </w:rPr>
      </w:pPr>
      <w:r w:rsidRPr="00F63317">
        <w:t>MHA2014 Flowchart of CTO</w:t>
      </w:r>
    </w:p>
    <w:p w:rsidR="004B556F" w:rsidRPr="00862D4A" w:rsidRDefault="004B556F" w:rsidP="004B556F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Assessments</w:t>
      </w:r>
      <w:r>
        <w:rPr>
          <w:b/>
          <w:sz w:val="28"/>
          <w:szCs w:val="28"/>
        </w:rPr>
        <w:t>- Ranking of Scores</w:t>
      </w:r>
    </w:p>
    <w:p w:rsidR="004B556F" w:rsidRDefault="004B556F" w:rsidP="004B556F">
      <w:pPr>
        <w:spacing w:before="60" w:after="60" w:line="360" w:lineRule="auto"/>
      </w:pPr>
      <w:r w:rsidRPr="00604167">
        <w:t>Nil</w:t>
      </w:r>
      <w:r>
        <w:t xml:space="preserve"> </w:t>
      </w:r>
    </w:p>
    <w:p w:rsidR="004B556F" w:rsidRPr="00862D4A" w:rsidRDefault="004B556F" w:rsidP="004B556F">
      <w:pPr>
        <w:spacing w:before="60" w:after="60" w:line="360" w:lineRule="auto"/>
        <w:rPr>
          <w:b/>
          <w:sz w:val="28"/>
        </w:rPr>
      </w:pPr>
      <w:r w:rsidRPr="00862D4A">
        <w:rPr>
          <w:b/>
          <w:sz w:val="28"/>
        </w:rPr>
        <w:t>Course/Trainer Evaluation</w:t>
      </w:r>
    </w:p>
    <w:p w:rsidR="004B556F" w:rsidRPr="00862D4A" w:rsidRDefault="004B556F" w:rsidP="004B556F">
      <w:pPr>
        <w:autoSpaceDE w:val="0"/>
        <w:autoSpaceDN w:val="0"/>
        <w:adjustRightInd w:val="0"/>
        <w:spacing w:before="60" w:after="60" w:line="360" w:lineRule="auto"/>
      </w:pPr>
      <w:r w:rsidRPr="00862D4A">
        <w:t>Participants will be given an evaluation questionnaire to complete at the end</w:t>
      </w:r>
      <w:r w:rsidRPr="003B7895">
        <w:rPr>
          <w:rFonts w:cs="Arial"/>
        </w:rPr>
        <w:t xml:space="preserve"> of the course</w:t>
      </w:r>
      <w:r w:rsidRPr="00862D4A">
        <w:t xml:space="preserve">. </w:t>
      </w:r>
    </w:p>
    <w:p w:rsidR="004B556F" w:rsidRPr="002E098E" w:rsidRDefault="004B556F" w:rsidP="004B556F">
      <w:pPr>
        <w:spacing w:before="60" w:after="60" w:line="360" w:lineRule="auto"/>
        <w:rPr>
          <w:rFonts w:cs="Arial"/>
          <w:b/>
          <w:sz w:val="28"/>
          <w:szCs w:val="28"/>
        </w:rPr>
      </w:pPr>
      <w:r w:rsidRPr="002E098E">
        <w:rPr>
          <w:b/>
          <w:sz w:val="28"/>
          <w:szCs w:val="28"/>
        </w:rPr>
        <w:t>Certification processes and CPD allocation</w:t>
      </w:r>
      <w:r w:rsidRPr="002E098E">
        <w:rPr>
          <w:rFonts w:cs="Arial"/>
          <w:b/>
          <w:sz w:val="28"/>
          <w:szCs w:val="28"/>
        </w:rPr>
        <w:t xml:space="preserve"> </w:t>
      </w:r>
    </w:p>
    <w:p w:rsidR="004B556F" w:rsidRDefault="004B556F" w:rsidP="004B556F">
      <w:pPr>
        <w:rPr>
          <w:szCs w:val="24"/>
        </w:rPr>
      </w:pPr>
      <w:proofErr w:type="gramStart"/>
      <w:r w:rsidRPr="00F63317">
        <w:t>Certificate of attendance and 4 hrs CPD allocation.</w:t>
      </w:r>
      <w:proofErr w:type="gramEnd"/>
      <w:r w:rsidRPr="00F63317">
        <w:t xml:space="preserve"> </w:t>
      </w:r>
    </w:p>
    <w:p w:rsidR="008D48C6" w:rsidRPr="001F6030" w:rsidRDefault="008D48C6" w:rsidP="004B556F">
      <w:pPr>
        <w:pStyle w:val="ListBullet"/>
        <w:numPr>
          <w:ilvl w:val="0"/>
          <w:numId w:val="0"/>
        </w:numPr>
        <w:spacing w:before="60" w:after="60" w:line="360" w:lineRule="auto"/>
      </w:pPr>
      <w:bookmarkStart w:id="0" w:name="_GoBack"/>
      <w:bookmarkEnd w:id="0"/>
    </w:p>
    <w:sectPr w:rsidR="008D48C6" w:rsidRPr="001F6030" w:rsidSect="008D48C6">
      <w:head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C6" w:rsidRDefault="008D48C6" w:rsidP="008D48C6">
      <w:pPr>
        <w:spacing w:after="0" w:line="240" w:lineRule="auto"/>
      </w:pPr>
      <w:r>
        <w:separator/>
      </w:r>
    </w:p>
  </w:endnote>
  <w:endnote w:type="continuationSeparator" w:id="0">
    <w:p w:rsidR="008D48C6" w:rsidRDefault="008D48C6" w:rsidP="008D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C6" w:rsidRDefault="008D48C6" w:rsidP="008D48C6">
      <w:pPr>
        <w:spacing w:after="0" w:line="240" w:lineRule="auto"/>
      </w:pPr>
      <w:r>
        <w:separator/>
      </w:r>
    </w:p>
  </w:footnote>
  <w:footnote w:type="continuationSeparator" w:id="0">
    <w:p w:rsidR="008D48C6" w:rsidRDefault="008D48C6" w:rsidP="008D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C6" w:rsidRDefault="008D48C6" w:rsidP="008D48C6">
    <w:pPr>
      <w:pStyle w:val="Header"/>
    </w:pPr>
    <w:r>
      <w:rPr>
        <w:noProof/>
        <w:lang w:eastAsia="en-AU"/>
      </w:rPr>
      <w:drawing>
        <wp:inline distT="0" distB="0" distL="0" distR="0" wp14:anchorId="1851901A" wp14:editId="0C11EAB9">
          <wp:extent cx="2211895" cy="530744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P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246" cy="531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45C"/>
    <w:multiLevelType w:val="hybridMultilevel"/>
    <w:tmpl w:val="8764A2EE"/>
    <w:lvl w:ilvl="0" w:tplc="0C090013">
      <w:start w:val="1"/>
      <w:numFmt w:val="upperRoman"/>
      <w:lvlText w:val="%1."/>
      <w:lvlJc w:val="right"/>
      <w:pPr>
        <w:ind w:left="1734" w:hanging="360"/>
      </w:pPr>
      <w:rPr>
        <w:rFonts w:hint="default"/>
        <w:b/>
      </w:rPr>
    </w:lvl>
    <w:lvl w:ilvl="1" w:tplc="124C4AB0">
      <w:start w:val="1"/>
      <w:numFmt w:val="decimal"/>
      <w:lvlText w:val="%2."/>
      <w:lvlJc w:val="left"/>
      <w:pPr>
        <w:ind w:left="2814" w:hanging="72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3174" w:hanging="180"/>
      </w:pPr>
    </w:lvl>
    <w:lvl w:ilvl="3" w:tplc="0C09000F" w:tentative="1">
      <w:start w:val="1"/>
      <w:numFmt w:val="decimal"/>
      <w:lvlText w:val="%4."/>
      <w:lvlJc w:val="left"/>
      <w:pPr>
        <w:ind w:left="3894" w:hanging="360"/>
      </w:pPr>
    </w:lvl>
    <w:lvl w:ilvl="4" w:tplc="0C090019" w:tentative="1">
      <w:start w:val="1"/>
      <w:numFmt w:val="lowerLetter"/>
      <w:lvlText w:val="%5."/>
      <w:lvlJc w:val="left"/>
      <w:pPr>
        <w:ind w:left="4614" w:hanging="360"/>
      </w:pPr>
    </w:lvl>
    <w:lvl w:ilvl="5" w:tplc="0C09001B" w:tentative="1">
      <w:start w:val="1"/>
      <w:numFmt w:val="lowerRoman"/>
      <w:lvlText w:val="%6."/>
      <w:lvlJc w:val="right"/>
      <w:pPr>
        <w:ind w:left="5334" w:hanging="180"/>
      </w:pPr>
    </w:lvl>
    <w:lvl w:ilvl="6" w:tplc="0C09000F" w:tentative="1">
      <w:start w:val="1"/>
      <w:numFmt w:val="decimal"/>
      <w:lvlText w:val="%7."/>
      <w:lvlJc w:val="left"/>
      <w:pPr>
        <w:ind w:left="6054" w:hanging="360"/>
      </w:pPr>
    </w:lvl>
    <w:lvl w:ilvl="7" w:tplc="0C090019" w:tentative="1">
      <w:start w:val="1"/>
      <w:numFmt w:val="lowerLetter"/>
      <w:lvlText w:val="%8."/>
      <w:lvlJc w:val="left"/>
      <w:pPr>
        <w:ind w:left="6774" w:hanging="360"/>
      </w:pPr>
    </w:lvl>
    <w:lvl w:ilvl="8" w:tplc="0C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">
    <w:nsid w:val="0E882D1B"/>
    <w:multiLevelType w:val="hybridMultilevel"/>
    <w:tmpl w:val="3B84BF54"/>
    <w:lvl w:ilvl="0" w:tplc="C8E801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5B73"/>
    <w:multiLevelType w:val="hybridMultilevel"/>
    <w:tmpl w:val="2A86A9B0"/>
    <w:lvl w:ilvl="0" w:tplc="4B5EE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07EDC"/>
    <w:multiLevelType w:val="hybridMultilevel"/>
    <w:tmpl w:val="4A0E6FC4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3CD2"/>
    <w:multiLevelType w:val="hybridMultilevel"/>
    <w:tmpl w:val="032E539E"/>
    <w:lvl w:ilvl="0" w:tplc="FC640F2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89F0CDF"/>
    <w:multiLevelType w:val="hybridMultilevel"/>
    <w:tmpl w:val="ED5C6472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C298A"/>
    <w:multiLevelType w:val="hybridMultilevel"/>
    <w:tmpl w:val="C14C1B4A"/>
    <w:lvl w:ilvl="0" w:tplc="4B5EE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71E7"/>
    <w:multiLevelType w:val="hybridMultilevel"/>
    <w:tmpl w:val="032E539E"/>
    <w:lvl w:ilvl="0" w:tplc="FC640F2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52E5AC9"/>
    <w:multiLevelType w:val="hybridMultilevel"/>
    <w:tmpl w:val="37284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01B37"/>
    <w:multiLevelType w:val="multilevel"/>
    <w:tmpl w:val="C5B09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7171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D711C"/>
    <w:multiLevelType w:val="hybridMultilevel"/>
    <w:tmpl w:val="FF96BD5E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E328E"/>
    <w:multiLevelType w:val="hybridMultilevel"/>
    <w:tmpl w:val="75B03FA2"/>
    <w:lvl w:ilvl="0" w:tplc="7C228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04CC9"/>
    <w:multiLevelType w:val="hybridMultilevel"/>
    <w:tmpl w:val="926CC06A"/>
    <w:lvl w:ilvl="0" w:tplc="12FC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E2C58"/>
    <w:multiLevelType w:val="hybridMultilevel"/>
    <w:tmpl w:val="BECABFEA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46DFD"/>
    <w:multiLevelType w:val="hybridMultilevel"/>
    <w:tmpl w:val="C5C0F216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6">
    <w:nsid w:val="51DD4FED"/>
    <w:multiLevelType w:val="hybridMultilevel"/>
    <w:tmpl w:val="0FAEC7D2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F1274"/>
    <w:multiLevelType w:val="hybridMultilevel"/>
    <w:tmpl w:val="1F68309E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04312"/>
    <w:multiLevelType w:val="multilevel"/>
    <w:tmpl w:val="A1C0D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17171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A48F4"/>
    <w:multiLevelType w:val="multilevel"/>
    <w:tmpl w:val="31B66976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1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7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3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33" w:hanging="1440"/>
      </w:pPr>
      <w:rPr>
        <w:rFonts w:hint="default"/>
        <w:color w:val="auto"/>
      </w:rPr>
    </w:lvl>
  </w:abstractNum>
  <w:abstractNum w:abstractNumId="21">
    <w:nsid w:val="659E1D2B"/>
    <w:multiLevelType w:val="hybridMultilevel"/>
    <w:tmpl w:val="B4A49298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23F01"/>
    <w:multiLevelType w:val="hybridMultilevel"/>
    <w:tmpl w:val="9D2AC2C2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77456"/>
    <w:multiLevelType w:val="hybridMultilevel"/>
    <w:tmpl w:val="BE3C8FEA"/>
    <w:lvl w:ilvl="0" w:tplc="CA0811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26419"/>
    <w:multiLevelType w:val="hybridMultilevel"/>
    <w:tmpl w:val="B2DAC5EC"/>
    <w:lvl w:ilvl="0" w:tplc="FC640F20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>
    <w:nsid w:val="70AF45AD"/>
    <w:multiLevelType w:val="hybridMultilevel"/>
    <w:tmpl w:val="5BA2AC52"/>
    <w:lvl w:ilvl="0" w:tplc="4B5EE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E2347"/>
    <w:multiLevelType w:val="hybridMultilevel"/>
    <w:tmpl w:val="BECABFEA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2185E"/>
    <w:multiLevelType w:val="hybridMultilevel"/>
    <w:tmpl w:val="29FC1C50"/>
    <w:lvl w:ilvl="0" w:tplc="FC64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FB1B55"/>
    <w:multiLevelType w:val="hybridMultilevel"/>
    <w:tmpl w:val="A072CBEE"/>
    <w:lvl w:ilvl="0" w:tplc="F4364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8"/>
  </w:num>
  <w:num w:numId="4">
    <w:abstractNumId w:val="0"/>
  </w:num>
  <w:num w:numId="5">
    <w:abstractNumId w:val="7"/>
  </w:num>
  <w:num w:numId="6">
    <w:abstractNumId w:val="21"/>
  </w:num>
  <w:num w:numId="7">
    <w:abstractNumId w:val="12"/>
  </w:num>
  <w:num w:numId="8">
    <w:abstractNumId w:val="3"/>
  </w:num>
  <w:num w:numId="9">
    <w:abstractNumId w:val="27"/>
  </w:num>
  <w:num w:numId="10">
    <w:abstractNumId w:val="16"/>
  </w:num>
  <w:num w:numId="11">
    <w:abstractNumId w:val="10"/>
  </w:num>
  <w:num w:numId="12">
    <w:abstractNumId w:val="25"/>
  </w:num>
  <w:num w:numId="13">
    <w:abstractNumId w:val="24"/>
  </w:num>
  <w:num w:numId="14">
    <w:abstractNumId w:val="4"/>
  </w:num>
  <w:num w:numId="15">
    <w:abstractNumId w:val="20"/>
  </w:num>
  <w:num w:numId="16">
    <w:abstractNumId w:val="13"/>
  </w:num>
  <w:num w:numId="17">
    <w:abstractNumId w:val="5"/>
  </w:num>
  <w:num w:numId="18">
    <w:abstractNumId w:val="8"/>
  </w:num>
  <w:num w:numId="19">
    <w:abstractNumId w:val="22"/>
  </w:num>
  <w:num w:numId="20">
    <w:abstractNumId w:val="14"/>
  </w:num>
  <w:num w:numId="21">
    <w:abstractNumId w:val="9"/>
  </w:num>
  <w:num w:numId="22">
    <w:abstractNumId w:val="26"/>
  </w:num>
  <w:num w:numId="23">
    <w:abstractNumId w:val="11"/>
  </w:num>
  <w:num w:numId="24">
    <w:abstractNumId w:val="17"/>
  </w:num>
  <w:num w:numId="25">
    <w:abstractNumId w:val="23"/>
  </w:num>
  <w:num w:numId="26">
    <w:abstractNumId w:val="18"/>
  </w:num>
  <w:num w:numId="27">
    <w:abstractNumId w:val="1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C6"/>
    <w:rsid w:val="000816D0"/>
    <w:rsid w:val="001437E0"/>
    <w:rsid w:val="00171B7B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B556F"/>
    <w:rsid w:val="004C2780"/>
    <w:rsid w:val="004C6976"/>
    <w:rsid w:val="004D3A7A"/>
    <w:rsid w:val="0056716B"/>
    <w:rsid w:val="005A409E"/>
    <w:rsid w:val="006F52D0"/>
    <w:rsid w:val="0077027C"/>
    <w:rsid w:val="007D793C"/>
    <w:rsid w:val="00881846"/>
    <w:rsid w:val="00897837"/>
    <w:rsid w:val="008D48C6"/>
    <w:rsid w:val="008F7FE4"/>
    <w:rsid w:val="00930DF8"/>
    <w:rsid w:val="009668ED"/>
    <w:rsid w:val="00981DA1"/>
    <w:rsid w:val="00990D6C"/>
    <w:rsid w:val="00A91C4C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before="0"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Bullet">
    <w:name w:val="List Bullet"/>
    <w:basedOn w:val="List"/>
    <w:rsid w:val="008D48C6"/>
    <w:pPr>
      <w:keepNext/>
      <w:keepLines/>
      <w:numPr>
        <w:numId w:val="2"/>
      </w:numPr>
      <w:spacing w:before="40" w:after="40" w:line="240" w:lineRule="auto"/>
      <w:ind w:left="720"/>
    </w:pPr>
    <w:rPr>
      <w:rFonts w:ascii="Times New Roman" w:eastAsia="Calibri" w:hAnsi="Times New Roman" w:cs="Times New Roman"/>
      <w:sz w:val="24"/>
      <w:lang w:val="en-US"/>
    </w:rPr>
  </w:style>
  <w:style w:type="table" w:styleId="MediumGrid1">
    <w:name w:val="Medium Grid 1"/>
    <w:basedOn w:val="TableNormal"/>
    <w:uiPriority w:val="67"/>
    <w:rsid w:val="008D48C6"/>
    <w:pPr>
      <w:spacing w:before="0"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Emphasis">
    <w:name w:val="Emphasis"/>
    <w:basedOn w:val="DefaultParagraphFont"/>
    <w:uiPriority w:val="20"/>
    <w:qFormat/>
    <w:rsid w:val="008D48C6"/>
    <w:rPr>
      <w:i/>
      <w:iCs/>
    </w:rPr>
  </w:style>
  <w:style w:type="paragraph" w:styleId="List">
    <w:name w:val="List"/>
    <w:basedOn w:val="Normal"/>
    <w:uiPriority w:val="99"/>
    <w:semiHidden/>
    <w:rsid w:val="008D48C6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C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before="0"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Bullet">
    <w:name w:val="List Bullet"/>
    <w:basedOn w:val="List"/>
    <w:rsid w:val="008D48C6"/>
    <w:pPr>
      <w:keepNext/>
      <w:keepLines/>
      <w:numPr>
        <w:numId w:val="2"/>
      </w:numPr>
      <w:spacing w:before="40" w:after="40" w:line="240" w:lineRule="auto"/>
      <w:ind w:left="720"/>
    </w:pPr>
    <w:rPr>
      <w:rFonts w:ascii="Times New Roman" w:eastAsia="Calibri" w:hAnsi="Times New Roman" w:cs="Times New Roman"/>
      <w:sz w:val="24"/>
      <w:lang w:val="en-US"/>
    </w:rPr>
  </w:style>
  <w:style w:type="table" w:styleId="MediumGrid1">
    <w:name w:val="Medium Grid 1"/>
    <w:basedOn w:val="TableNormal"/>
    <w:uiPriority w:val="67"/>
    <w:rsid w:val="008D48C6"/>
    <w:pPr>
      <w:spacing w:before="0"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Emphasis">
    <w:name w:val="Emphasis"/>
    <w:basedOn w:val="DefaultParagraphFont"/>
    <w:uiPriority w:val="20"/>
    <w:qFormat/>
    <w:rsid w:val="008D48C6"/>
    <w:rPr>
      <w:i/>
      <w:iCs/>
    </w:rPr>
  </w:style>
  <w:style w:type="paragraph" w:styleId="List">
    <w:name w:val="List"/>
    <w:basedOn w:val="Normal"/>
    <w:uiPriority w:val="99"/>
    <w:semiHidden/>
    <w:rsid w:val="008D48C6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C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semiHidden/>
    <w:rsid w:val="008D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C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egislation.wa.gov.au/legislation/statutes.nsf/main_mrtitle_13534_homepag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A8C0-30D5-4F98-BCB5-F01D0AAE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2372</Characters>
  <Application>Microsoft Office Word</Application>
  <DocSecurity>0</DocSecurity>
  <Lines>82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Talei</dc:creator>
  <cp:lastModifiedBy>Marshall, Talei</cp:lastModifiedBy>
  <cp:revision>2</cp:revision>
  <dcterms:created xsi:type="dcterms:W3CDTF">2018-10-10T05:52:00Z</dcterms:created>
  <dcterms:modified xsi:type="dcterms:W3CDTF">2018-10-10T05:52:00Z</dcterms:modified>
</cp:coreProperties>
</file>